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72404" w14:textId="77777777" w:rsidR="00EE00A6" w:rsidRDefault="00EE00A6" w:rsidP="00EE00A6">
      <w:pPr>
        <w:rPr>
          <w:rFonts w:ascii="Lato Light" w:hAnsi="Lato Light" w:cs="Arial"/>
          <w:b/>
          <w:bCs/>
          <w:lang w:val="en"/>
        </w:rPr>
      </w:pPr>
    </w:p>
    <w:p w14:paraId="1DD5108D" w14:textId="77777777" w:rsidR="00EE00A6" w:rsidRDefault="00EE00A6" w:rsidP="00EE00A6">
      <w:pPr>
        <w:rPr>
          <w:rFonts w:ascii="Lato Light" w:hAnsi="Lato Light" w:cs="Arial"/>
          <w:b/>
          <w:bCs/>
          <w:lang w:val="en"/>
        </w:rPr>
      </w:pPr>
    </w:p>
    <w:p w14:paraId="0505EFDB" w14:textId="4E738F85" w:rsidR="00EE00A6" w:rsidRDefault="0007366D" w:rsidP="00EE00A6">
      <w:pPr>
        <w:jc w:val="center"/>
        <w:rPr>
          <w:rFonts w:ascii="Lato Light" w:hAnsi="Lato Light" w:cs="Arial"/>
          <w:b/>
          <w:bCs/>
          <w:lang w:val="en"/>
        </w:rPr>
      </w:pPr>
      <w:r>
        <w:rPr>
          <w:rFonts w:ascii="Lato Light" w:hAnsi="Lato Light" w:cs="Arial"/>
          <w:b/>
          <w:bCs/>
          <w:lang w:val="en"/>
        </w:rPr>
        <w:t xml:space="preserve">Texas Wine Impact Social </w:t>
      </w:r>
    </w:p>
    <w:p w14:paraId="71D314BD" w14:textId="77777777" w:rsidR="0007366D" w:rsidRDefault="0007366D" w:rsidP="0007366D">
      <w:pPr>
        <w:rPr>
          <w:rFonts w:ascii="Lato Light" w:hAnsi="Lato Light" w:cs="Arial"/>
          <w:b/>
          <w:bCs/>
          <w:lang w:val="en"/>
        </w:rPr>
      </w:pPr>
    </w:p>
    <w:p w14:paraId="4FCF5915" w14:textId="517FB908" w:rsidR="00EE00A6" w:rsidRPr="0007366D" w:rsidRDefault="0007366D" w:rsidP="00EE00A6">
      <w:pPr>
        <w:rPr>
          <w:rFonts w:ascii="Lato Light" w:hAnsi="Lato Light" w:cs="Arial"/>
          <w:lang w:val="en"/>
        </w:rPr>
      </w:pPr>
      <w:r w:rsidRPr="0007366D">
        <w:rPr>
          <w:rFonts w:ascii="Lato Light" w:hAnsi="Lato Light" w:cs="Arial"/>
          <w:lang w:val="en"/>
        </w:rPr>
        <w:t xml:space="preserve">Below are some posts for sharing </w:t>
      </w:r>
      <w:r>
        <w:rPr>
          <w:rFonts w:ascii="Lato Light" w:hAnsi="Lato Light" w:cs="Arial"/>
          <w:lang w:val="en"/>
        </w:rPr>
        <w:t xml:space="preserve">Texas wine industry impact facts with your customers and industry supporters. </w:t>
      </w:r>
      <w:r w:rsidRPr="0007366D">
        <w:rPr>
          <w:rFonts w:ascii="Lato Light" w:hAnsi="Lato Light" w:cs="Arial"/>
          <w:lang w:val="en"/>
        </w:rPr>
        <w:t>Tag Texas Wine &amp; Grape Growers Association in your posts</w:t>
      </w:r>
      <w:r>
        <w:rPr>
          <w:rFonts w:ascii="Lato Light" w:hAnsi="Lato Light" w:cs="Arial"/>
          <w:lang w:val="en"/>
        </w:rPr>
        <w:t xml:space="preserve"> (</w:t>
      </w:r>
      <w:hyperlink r:id="rId7" w:history="1">
        <w:r w:rsidRPr="0007366D">
          <w:rPr>
            <w:rStyle w:val="Hyperlink"/>
            <w:rFonts w:ascii="Lato Light" w:hAnsi="Lato Light" w:cs="Arial"/>
            <w:lang w:val="en"/>
          </w:rPr>
          <w:t>Facebook</w:t>
        </w:r>
      </w:hyperlink>
      <w:r>
        <w:rPr>
          <w:rFonts w:ascii="Lato Light" w:hAnsi="Lato Light" w:cs="Arial"/>
          <w:lang w:val="en"/>
        </w:rPr>
        <w:t xml:space="preserve">, </w:t>
      </w:r>
      <w:hyperlink r:id="rId8" w:history="1">
        <w:r w:rsidRPr="0007366D">
          <w:rPr>
            <w:rStyle w:val="Hyperlink"/>
            <w:rFonts w:ascii="Lato Light" w:hAnsi="Lato Light" w:cs="Arial"/>
            <w:lang w:val="en"/>
          </w:rPr>
          <w:t>Twitter/X</w:t>
        </w:r>
      </w:hyperlink>
      <w:r>
        <w:rPr>
          <w:rFonts w:ascii="Lato Light" w:hAnsi="Lato Light" w:cs="Arial"/>
          <w:lang w:val="en"/>
        </w:rPr>
        <w:t xml:space="preserve">, </w:t>
      </w:r>
      <w:hyperlink r:id="rId9" w:history="1">
        <w:r w:rsidRPr="0007366D">
          <w:rPr>
            <w:rStyle w:val="Hyperlink"/>
            <w:rFonts w:ascii="Lato Light" w:hAnsi="Lato Light" w:cs="Arial"/>
            <w:lang w:val="en"/>
          </w:rPr>
          <w:t>Instagram</w:t>
        </w:r>
      </w:hyperlink>
      <w:r>
        <w:rPr>
          <w:rFonts w:ascii="Lato Light" w:hAnsi="Lato Light" w:cs="Arial"/>
          <w:lang w:val="en"/>
        </w:rPr>
        <w:t xml:space="preserve">, </w:t>
      </w:r>
      <w:hyperlink r:id="rId10" w:history="1">
        <w:proofErr w:type="spellStart"/>
        <w:r w:rsidRPr="0007366D">
          <w:rPr>
            <w:rStyle w:val="Hyperlink"/>
            <w:rFonts w:ascii="Lato Light" w:hAnsi="Lato Light" w:cs="Arial"/>
            <w:lang w:val="en"/>
          </w:rPr>
          <w:t>Linkedin</w:t>
        </w:r>
        <w:proofErr w:type="spellEnd"/>
      </w:hyperlink>
      <w:r>
        <w:rPr>
          <w:rFonts w:ascii="Lato Light" w:hAnsi="Lato Light" w:cs="Arial"/>
          <w:lang w:val="en"/>
        </w:rPr>
        <w:t>)</w:t>
      </w:r>
      <w:r w:rsidRPr="0007366D">
        <w:rPr>
          <w:rFonts w:ascii="Lato Light" w:hAnsi="Lato Light" w:cs="Arial"/>
          <w:lang w:val="en"/>
        </w:rPr>
        <w:t>.</w:t>
      </w:r>
    </w:p>
    <w:p w14:paraId="3A63318B" w14:textId="2DF41AD0" w:rsidR="00016982" w:rsidRDefault="00016982" w:rsidP="0007366D">
      <w:pPr>
        <w:rPr>
          <w:rFonts w:ascii="Lato Light" w:hAnsi="Lato Light" w:cs="Arial"/>
          <w:lang w:val="en"/>
        </w:rPr>
      </w:pPr>
    </w:p>
    <w:p w14:paraId="5725FF71" w14:textId="77777777" w:rsidR="0007366D" w:rsidRDefault="0007366D" w:rsidP="0007366D">
      <w:pPr>
        <w:rPr>
          <w:rFonts w:ascii="Lato Light" w:hAnsi="Lato Light" w:cs="Arial"/>
          <w:b/>
          <w:bCs/>
        </w:rPr>
      </w:pPr>
      <w:r w:rsidRPr="0007366D">
        <w:rPr>
          <w:rFonts w:ascii="Lato Light" w:hAnsi="Lato Light" w:cs="Arial"/>
          <w:b/>
          <w:bCs/>
        </w:rPr>
        <w:t>Post 1:</w:t>
      </w:r>
    </w:p>
    <w:p w14:paraId="1AF43C13" w14:textId="77777777" w:rsidR="0007366D" w:rsidRDefault="0007366D" w:rsidP="0007366D">
      <w:pPr>
        <w:rPr>
          <w:rFonts w:ascii="Lato Light" w:hAnsi="Lato Light" w:cs="Arial"/>
          <w:b/>
          <w:bCs/>
        </w:rPr>
      </w:pPr>
    </w:p>
    <w:p w14:paraId="000ED523" w14:textId="77777777" w:rsidR="0007366D" w:rsidRDefault="0007366D" w:rsidP="0007366D">
      <w:pPr>
        <w:rPr>
          <w:rFonts w:ascii="Lato Light" w:hAnsi="Lato Light" w:cs="Arial"/>
        </w:rPr>
      </w:pPr>
      <w:r w:rsidRPr="0007366D">
        <w:rPr>
          <w:rFonts w:ascii="Lato Light" w:hAnsi="Lato Light" w:cs="Arial"/>
        </w:rPr>
        <w:t xml:space="preserve">According to </w:t>
      </w:r>
      <w:proofErr w:type="spellStart"/>
      <w:r w:rsidRPr="0007366D">
        <w:rPr>
          <w:rFonts w:ascii="Lato Light" w:hAnsi="Lato Light" w:cs="Arial"/>
          <w:b/>
          <w:bCs/>
        </w:rPr>
        <w:t>WineAmerica</w:t>
      </w:r>
      <w:r w:rsidRPr="0007366D">
        <w:rPr>
          <w:rFonts w:ascii="Lato Light" w:hAnsi="Lato Light" w:cs="Arial"/>
        </w:rPr>
        <w:t>'s</w:t>
      </w:r>
      <w:proofErr w:type="spellEnd"/>
      <w:r w:rsidRPr="0007366D">
        <w:rPr>
          <w:rFonts w:ascii="Lato Light" w:hAnsi="Lato Light" w:cs="Arial"/>
        </w:rPr>
        <w:t xml:space="preserve"> latest report, the Texas wine industry now contributes $24.39 billion annually to the state’s economy, supports 136,744 jobs, and draws 2.6M wine tourists each year. Texas wine is fueling jobs, tourism, and growth across the Lone Star Stat</w:t>
      </w:r>
      <w:r>
        <w:rPr>
          <w:rFonts w:ascii="Lato Light" w:hAnsi="Lato Light" w:cs="Arial"/>
        </w:rPr>
        <w:t>e.</w:t>
      </w:r>
    </w:p>
    <w:p w14:paraId="01B0CFE8" w14:textId="77777777" w:rsidR="0007366D" w:rsidRDefault="0007366D" w:rsidP="0007366D">
      <w:pPr>
        <w:rPr>
          <w:rFonts w:ascii="Lato Light" w:hAnsi="Lato Light" w:cs="Arial"/>
        </w:rPr>
      </w:pPr>
    </w:p>
    <w:p w14:paraId="7EC261B7" w14:textId="7724958D" w:rsidR="0007366D" w:rsidRDefault="0007366D" w:rsidP="0007366D">
      <w:pPr>
        <w:rPr>
          <w:rFonts w:ascii="Lato Light" w:hAnsi="Lato Light" w:cs="Arial"/>
        </w:rPr>
      </w:pPr>
      <w:r w:rsidRPr="0007366D">
        <w:rPr>
          <w:rFonts w:ascii="Lato Light" w:hAnsi="Lato Light" w:cs="Arial"/>
          <w:b/>
          <w:bCs/>
        </w:rPr>
        <w:t>Post 2:</w:t>
      </w:r>
      <w:r w:rsidRPr="0007366D">
        <w:rPr>
          <w:rFonts w:ascii="Lato Light" w:hAnsi="Lato Light" w:cs="Arial"/>
        </w:rPr>
        <w:br/>
      </w:r>
    </w:p>
    <w:p w14:paraId="4832B37A" w14:textId="5785C22E" w:rsidR="0007366D" w:rsidRDefault="00885F70" w:rsidP="0007366D">
      <w:pPr>
        <w:rPr>
          <w:rFonts w:ascii="Lato Light" w:hAnsi="Lato Light" w:cs="Arial"/>
        </w:rPr>
      </w:pPr>
      <w:r>
        <w:rPr>
          <w:rFonts w:ascii="Lato Light" w:hAnsi="Lato Light" w:cs="Arial"/>
        </w:rPr>
        <w:t xml:space="preserve">Did you hear the news? </w:t>
      </w:r>
      <w:r w:rsidR="0007366D" w:rsidRPr="0007366D">
        <w:rPr>
          <w:rFonts w:ascii="Lato Light" w:hAnsi="Lato Light" w:cs="Arial"/>
        </w:rPr>
        <w:t>Texas wine is more than what’s in your glass—it’s a $24.39 billion economic driver for our state</w:t>
      </w:r>
      <w:r w:rsidR="0007366D">
        <w:rPr>
          <w:rFonts w:ascii="Lato Light" w:hAnsi="Lato Light" w:cs="Arial"/>
        </w:rPr>
        <w:t xml:space="preserve">, according to </w:t>
      </w:r>
      <w:proofErr w:type="spellStart"/>
      <w:r w:rsidR="0007366D">
        <w:rPr>
          <w:rFonts w:ascii="Lato Light" w:hAnsi="Lato Light" w:cs="Arial"/>
        </w:rPr>
        <w:t>WineAmerica’s</w:t>
      </w:r>
      <w:proofErr w:type="spellEnd"/>
      <w:r w:rsidR="0007366D">
        <w:rPr>
          <w:rFonts w:ascii="Lato Light" w:hAnsi="Lato Light" w:cs="Arial"/>
        </w:rPr>
        <w:t xml:space="preserve"> latest report</w:t>
      </w:r>
      <w:r w:rsidR="0007366D" w:rsidRPr="0007366D">
        <w:rPr>
          <w:rFonts w:ascii="Lato Light" w:hAnsi="Lato Light" w:cs="Arial"/>
        </w:rPr>
        <w:t xml:space="preserve">. From vineyards to tasting rooms, we’re building jobs, tourism, and </w:t>
      </w:r>
      <w:r>
        <w:rPr>
          <w:rFonts w:ascii="Lato Light" w:hAnsi="Lato Light" w:cs="Arial"/>
        </w:rPr>
        <w:t>growth</w:t>
      </w:r>
      <w:r w:rsidR="0007366D" w:rsidRPr="0007366D">
        <w:rPr>
          <w:rFonts w:ascii="Lato Light" w:hAnsi="Lato Light" w:cs="Arial"/>
        </w:rPr>
        <w:t xml:space="preserve"> across Texas. </w:t>
      </w:r>
      <w:r w:rsidR="0007366D">
        <w:rPr>
          <w:rFonts w:ascii="Lato Light" w:hAnsi="Lato Light" w:cs="Arial"/>
        </w:rPr>
        <w:t>#texaswine</w:t>
      </w:r>
      <w:r w:rsidR="0007366D" w:rsidRPr="0007366D">
        <w:rPr>
          <w:rFonts w:ascii="Lato Light" w:hAnsi="Lato Light" w:cs="Arial"/>
        </w:rPr>
        <w:br/>
      </w:r>
    </w:p>
    <w:p w14:paraId="55C69696" w14:textId="55738661" w:rsidR="00885F70" w:rsidRDefault="00885F70" w:rsidP="0007366D">
      <w:pPr>
        <w:rPr>
          <w:rFonts w:ascii="Lato Light" w:hAnsi="Lato Light" w:cs="Arial"/>
          <w:b/>
          <w:bCs/>
        </w:rPr>
      </w:pPr>
      <w:r w:rsidRPr="0007366D">
        <w:rPr>
          <w:rFonts w:ascii="Lato Light" w:hAnsi="Lato Light" w:cs="Arial"/>
          <w:b/>
          <w:bCs/>
        </w:rPr>
        <w:t>Post 3:</w:t>
      </w:r>
    </w:p>
    <w:p w14:paraId="62902454" w14:textId="77777777" w:rsidR="00885F70" w:rsidRDefault="00885F70" w:rsidP="0007366D">
      <w:pPr>
        <w:rPr>
          <w:rFonts w:ascii="Lato Light" w:hAnsi="Lato Light" w:cs="Arial"/>
        </w:rPr>
      </w:pPr>
    </w:p>
    <w:p w14:paraId="3FEB1DE6" w14:textId="2179F1A0" w:rsidR="0007366D" w:rsidRPr="0007366D" w:rsidRDefault="0007366D" w:rsidP="0007366D">
      <w:pPr>
        <w:rPr>
          <w:rFonts w:ascii="Lato Light" w:hAnsi="Lato Light" w:cs="Arial"/>
        </w:rPr>
      </w:pPr>
      <w:r w:rsidRPr="0007366D">
        <w:rPr>
          <w:rFonts w:ascii="Lato Light" w:hAnsi="Lato Light" w:cs="Arial"/>
        </w:rPr>
        <w:t xml:space="preserve">Did you know the </w:t>
      </w:r>
      <w:r w:rsidRPr="00885F70">
        <w:rPr>
          <w:rFonts w:ascii="Lato Light" w:hAnsi="Lato Light" w:cs="Arial"/>
        </w:rPr>
        <w:t>Texas wine</w:t>
      </w:r>
      <w:r w:rsidRPr="0007366D">
        <w:rPr>
          <w:rFonts w:ascii="Lato Light" w:hAnsi="Lato Light" w:cs="Arial"/>
        </w:rPr>
        <w:t xml:space="preserve"> industry supports 136</w:t>
      </w:r>
      <w:r w:rsidR="00885F70" w:rsidRPr="00885F70">
        <w:rPr>
          <w:rFonts w:ascii="Lato Light" w:hAnsi="Lato Light" w:cs="Arial"/>
        </w:rPr>
        <w:t>,000+</w:t>
      </w:r>
      <w:r w:rsidRPr="0007366D">
        <w:rPr>
          <w:rFonts w:ascii="Lato Light" w:hAnsi="Lato Light" w:cs="Arial"/>
        </w:rPr>
        <w:t xml:space="preserve"> jobs across our state? From </w:t>
      </w:r>
      <w:r w:rsidR="00885F70">
        <w:rPr>
          <w:rFonts w:ascii="Lato Light" w:hAnsi="Lato Light" w:cs="Arial"/>
        </w:rPr>
        <w:t>vine</w:t>
      </w:r>
      <w:r w:rsidRPr="0007366D">
        <w:rPr>
          <w:rFonts w:ascii="Lato Light" w:hAnsi="Lato Light" w:cs="Arial"/>
        </w:rPr>
        <w:t xml:space="preserve"> to bottle, this is what homegrown success looks like. </w:t>
      </w:r>
      <w:r w:rsidRPr="00885F70">
        <w:rPr>
          <w:rFonts w:ascii="Lato Light" w:hAnsi="Lato Light" w:cs="Arial"/>
        </w:rPr>
        <w:t>#texaswine</w:t>
      </w:r>
    </w:p>
    <w:p w14:paraId="1E7F5AC9" w14:textId="77777777" w:rsidR="0007366D" w:rsidRDefault="0007366D" w:rsidP="0007366D">
      <w:pPr>
        <w:rPr>
          <w:rFonts w:ascii="Lato Light" w:hAnsi="Lato Light" w:cs="Arial"/>
          <w:b/>
          <w:bCs/>
        </w:rPr>
      </w:pPr>
    </w:p>
    <w:p w14:paraId="573A2FF2" w14:textId="1F997ED3" w:rsidR="0007366D" w:rsidRDefault="0007366D" w:rsidP="0007366D">
      <w:pPr>
        <w:rPr>
          <w:rFonts w:ascii="Lato Light" w:hAnsi="Lato Light" w:cs="Arial"/>
        </w:rPr>
      </w:pPr>
      <w:r w:rsidRPr="0007366D">
        <w:rPr>
          <w:rFonts w:ascii="Lato Light" w:hAnsi="Lato Light" w:cs="Arial"/>
          <w:b/>
          <w:bCs/>
        </w:rPr>
        <w:t xml:space="preserve">Post </w:t>
      </w:r>
      <w:r w:rsidR="00885F70">
        <w:rPr>
          <w:rFonts w:ascii="Lato Light" w:hAnsi="Lato Light" w:cs="Arial"/>
          <w:b/>
          <w:bCs/>
        </w:rPr>
        <w:t>4</w:t>
      </w:r>
      <w:r w:rsidRPr="0007366D">
        <w:rPr>
          <w:rFonts w:ascii="Lato Light" w:hAnsi="Lato Light" w:cs="Arial"/>
          <w:b/>
          <w:bCs/>
        </w:rPr>
        <w:t>:</w:t>
      </w:r>
      <w:r w:rsidRPr="0007366D">
        <w:rPr>
          <w:rFonts w:ascii="Lato Light" w:hAnsi="Lato Light" w:cs="Arial"/>
        </w:rPr>
        <w:br/>
      </w:r>
    </w:p>
    <w:p w14:paraId="39E6E230" w14:textId="0B47A4C4" w:rsidR="0007366D" w:rsidRPr="0007366D" w:rsidRDefault="0007366D" w:rsidP="0007366D">
      <w:pPr>
        <w:rPr>
          <w:rFonts w:ascii="Lato Light" w:hAnsi="Lato Light" w:cs="Arial"/>
        </w:rPr>
      </w:pPr>
      <w:r w:rsidRPr="0007366D">
        <w:rPr>
          <w:rFonts w:ascii="Lato Light" w:hAnsi="Lato Light" w:cs="Arial"/>
        </w:rPr>
        <w:t xml:space="preserve">Cheers to growth! </w:t>
      </w:r>
      <w:r w:rsidR="00885F70" w:rsidRPr="00885F70">
        <w:rPr>
          <w:rFonts w:ascii="Lato Light" w:hAnsi="Lato Light" w:cs="Arial"/>
        </w:rPr>
        <w:t xml:space="preserve">According to </w:t>
      </w:r>
      <w:proofErr w:type="spellStart"/>
      <w:r w:rsidR="00885F70" w:rsidRPr="00885F70">
        <w:rPr>
          <w:rFonts w:ascii="Lato Light" w:hAnsi="Lato Light" w:cs="Arial"/>
        </w:rPr>
        <w:t>WineAmerica's</w:t>
      </w:r>
      <w:proofErr w:type="spellEnd"/>
      <w:r w:rsidR="00885F70" w:rsidRPr="00885F70">
        <w:rPr>
          <w:rFonts w:ascii="Lato Light" w:hAnsi="Lato Light" w:cs="Arial"/>
        </w:rPr>
        <w:t xml:space="preserve"> latest report</w:t>
      </w:r>
      <w:r w:rsidR="00885F70" w:rsidRPr="00885F70">
        <w:rPr>
          <w:rFonts w:ascii="Lato Light" w:hAnsi="Lato Light" w:cs="Arial"/>
        </w:rPr>
        <w:t xml:space="preserve">, </w:t>
      </w:r>
      <w:r w:rsidRPr="0007366D">
        <w:rPr>
          <w:rFonts w:ascii="Lato Light" w:hAnsi="Lato Light" w:cs="Arial"/>
        </w:rPr>
        <w:t>Texas has 14,0</w:t>
      </w:r>
      <w:r w:rsidR="00885F70" w:rsidRPr="00885F70">
        <w:rPr>
          <w:rFonts w:ascii="Lato Light" w:hAnsi="Lato Light" w:cs="Arial"/>
        </w:rPr>
        <w:t>00+</w:t>
      </w:r>
      <w:r w:rsidRPr="0007366D">
        <w:rPr>
          <w:rFonts w:ascii="Lato Light" w:hAnsi="Lato Light" w:cs="Arial"/>
        </w:rPr>
        <w:t xml:space="preserve"> acres of vineyards under cultivation—preserving agricultural land and fueling economies across the state. </w:t>
      </w:r>
      <w:r w:rsidR="00885F70" w:rsidRPr="00885F70">
        <w:rPr>
          <w:rFonts w:ascii="Lato Light" w:hAnsi="Lato Light" w:cs="Arial"/>
        </w:rPr>
        <w:t>#texaswine</w:t>
      </w:r>
    </w:p>
    <w:p w14:paraId="7748F441" w14:textId="77777777" w:rsidR="0007366D" w:rsidRDefault="0007366D" w:rsidP="0007366D">
      <w:pPr>
        <w:rPr>
          <w:rFonts w:ascii="Lato Light" w:hAnsi="Lato Light" w:cs="Arial"/>
          <w:b/>
          <w:bCs/>
        </w:rPr>
      </w:pPr>
    </w:p>
    <w:p w14:paraId="63F9744F" w14:textId="0AA9EC10" w:rsidR="0007366D" w:rsidRDefault="0007366D" w:rsidP="0007366D">
      <w:pPr>
        <w:rPr>
          <w:rFonts w:ascii="Lato Light" w:hAnsi="Lato Light" w:cs="Arial"/>
          <w:b/>
          <w:bCs/>
        </w:rPr>
      </w:pPr>
      <w:r w:rsidRPr="0007366D">
        <w:rPr>
          <w:rFonts w:ascii="Lato Light" w:hAnsi="Lato Light" w:cs="Arial"/>
          <w:b/>
          <w:bCs/>
        </w:rPr>
        <w:t xml:space="preserve">Post </w:t>
      </w:r>
      <w:r w:rsidR="00885F70">
        <w:rPr>
          <w:rFonts w:ascii="Lato Light" w:hAnsi="Lato Light" w:cs="Arial"/>
          <w:b/>
          <w:bCs/>
        </w:rPr>
        <w:t>5</w:t>
      </w:r>
      <w:r w:rsidRPr="0007366D">
        <w:rPr>
          <w:rFonts w:ascii="Lato Light" w:hAnsi="Lato Light" w:cs="Arial"/>
          <w:b/>
          <w:bCs/>
        </w:rPr>
        <w:t>:</w:t>
      </w:r>
      <w:r w:rsidRPr="0007366D">
        <w:rPr>
          <w:rFonts w:ascii="Lato Light" w:hAnsi="Lato Light" w:cs="Arial"/>
        </w:rPr>
        <w:br/>
      </w:r>
    </w:p>
    <w:p w14:paraId="698018E9" w14:textId="2E8C5EE0" w:rsidR="0007366D" w:rsidRPr="0007366D" w:rsidRDefault="0007366D" w:rsidP="0007366D">
      <w:pPr>
        <w:rPr>
          <w:rFonts w:ascii="Lato Light" w:hAnsi="Lato Light" w:cs="Arial"/>
        </w:rPr>
      </w:pPr>
      <w:r w:rsidRPr="0007366D">
        <w:rPr>
          <w:rFonts w:ascii="Lato Light" w:hAnsi="Lato Light" w:cs="Arial"/>
        </w:rPr>
        <w:t>2.64 million people visited Texas wineries last year</w:t>
      </w:r>
      <w:r w:rsidR="00885F70">
        <w:rPr>
          <w:rFonts w:ascii="Lato Light" w:hAnsi="Lato Light" w:cs="Arial"/>
        </w:rPr>
        <w:t xml:space="preserve">, </w:t>
      </w:r>
      <w:r w:rsidR="00885F70">
        <w:rPr>
          <w:rFonts w:ascii="Lato Light" w:hAnsi="Lato Light" w:cs="Arial"/>
        </w:rPr>
        <w:t xml:space="preserve">according to </w:t>
      </w:r>
      <w:proofErr w:type="spellStart"/>
      <w:r w:rsidR="00885F70">
        <w:rPr>
          <w:rFonts w:ascii="Lato Light" w:hAnsi="Lato Light" w:cs="Arial"/>
        </w:rPr>
        <w:t>WineAmerica’s</w:t>
      </w:r>
      <w:proofErr w:type="spellEnd"/>
      <w:r w:rsidR="00885F70">
        <w:rPr>
          <w:rFonts w:ascii="Lato Light" w:hAnsi="Lato Light" w:cs="Arial"/>
        </w:rPr>
        <w:t xml:space="preserve"> latest report</w:t>
      </w:r>
      <w:r w:rsidR="00885F70" w:rsidRPr="0007366D">
        <w:rPr>
          <w:rFonts w:ascii="Lato Light" w:hAnsi="Lato Light" w:cs="Arial"/>
        </w:rPr>
        <w:t xml:space="preserve">. </w:t>
      </w:r>
      <w:r w:rsidRPr="0007366D">
        <w:rPr>
          <w:rFonts w:ascii="Lato Light" w:hAnsi="Lato Light" w:cs="Arial"/>
        </w:rPr>
        <w:t xml:space="preserve">Wine tourism is booming—and we’re proud to be part of what makes Texas a destination. </w:t>
      </w:r>
      <w:r w:rsidR="00885F70" w:rsidRPr="00885F70">
        <w:rPr>
          <w:rFonts w:ascii="Lato Light" w:hAnsi="Lato Light" w:cs="Arial"/>
        </w:rPr>
        <w:t>#texaswine</w:t>
      </w:r>
    </w:p>
    <w:p w14:paraId="0CD3F418" w14:textId="77777777" w:rsidR="0007366D" w:rsidRPr="0059653A" w:rsidRDefault="0007366D" w:rsidP="0007366D">
      <w:pPr>
        <w:rPr>
          <w:rFonts w:ascii="Lato Light" w:hAnsi="Lato Light" w:cs="Arial"/>
          <w:lang w:val="en"/>
        </w:rPr>
      </w:pPr>
    </w:p>
    <w:sectPr w:rsidR="0007366D" w:rsidRPr="0059653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20E09" w14:textId="77777777" w:rsidR="000D5907" w:rsidRDefault="000D5907" w:rsidP="006232A8">
      <w:r>
        <w:separator/>
      </w:r>
    </w:p>
  </w:endnote>
  <w:endnote w:type="continuationSeparator" w:id="0">
    <w:p w14:paraId="0CEA9103" w14:textId="77777777" w:rsidR="000D5907" w:rsidRDefault="000D5907" w:rsidP="0062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 Light">
    <w:panose1 w:val="020F0302020204030203"/>
    <w:charset w:val="4D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0EAD0" w14:textId="77777777" w:rsidR="000D5907" w:rsidRDefault="000D5907" w:rsidP="006232A8">
      <w:r>
        <w:separator/>
      </w:r>
    </w:p>
  </w:footnote>
  <w:footnote w:type="continuationSeparator" w:id="0">
    <w:p w14:paraId="10762740" w14:textId="77777777" w:rsidR="000D5907" w:rsidRDefault="000D5907" w:rsidP="00623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BBF6D" w14:textId="5CE97FBE" w:rsidR="006232A8" w:rsidRDefault="009939DD" w:rsidP="006232A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4D68740" wp14:editId="447DC5D4">
          <wp:simplePos x="0" y="0"/>
          <wp:positionH relativeFrom="column">
            <wp:posOffset>-904673</wp:posOffset>
          </wp:positionH>
          <wp:positionV relativeFrom="paragraph">
            <wp:posOffset>-466928</wp:posOffset>
          </wp:positionV>
          <wp:extent cx="7781615" cy="10077856"/>
          <wp:effectExtent l="0" t="0" r="0" b="0"/>
          <wp:wrapNone/>
          <wp:docPr id="1128031089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031089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9317" cy="101007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358"/>
    <w:multiLevelType w:val="hybridMultilevel"/>
    <w:tmpl w:val="F3D60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B1B7F"/>
    <w:multiLevelType w:val="hybridMultilevel"/>
    <w:tmpl w:val="0D942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FA16C4"/>
    <w:multiLevelType w:val="hybridMultilevel"/>
    <w:tmpl w:val="2360A13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5063DFF"/>
    <w:multiLevelType w:val="hybridMultilevel"/>
    <w:tmpl w:val="D2D6E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85631"/>
    <w:multiLevelType w:val="hybridMultilevel"/>
    <w:tmpl w:val="B0C8853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A402D60"/>
    <w:multiLevelType w:val="hybridMultilevel"/>
    <w:tmpl w:val="0A2C7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D48CF"/>
    <w:multiLevelType w:val="hybridMultilevel"/>
    <w:tmpl w:val="E3F6F068"/>
    <w:lvl w:ilvl="0" w:tplc="44C25D1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E6164"/>
    <w:multiLevelType w:val="multilevel"/>
    <w:tmpl w:val="11B495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5020FD4"/>
    <w:multiLevelType w:val="hybridMultilevel"/>
    <w:tmpl w:val="594E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A51AC"/>
    <w:multiLevelType w:val="hybridMultilevel"/>
    <w:tmpl w:val="17240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E0C97"/>
    <w:multiLevelType w:val="hybridMultilevel"/>
    <w:tmpl w:val="596E30DA"/>
    <w:lvl w:ilvl="0" w:tplc="6CB849C2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C00000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25776"/>
    <w:multiLevelType w:val="hybridMultilevel"/>
    <w:tmpl w:val="D8B05DA2"/>
    <w:lvl w:ilvl="0" w:tplc="6AB29282">
      <w:start w:val="1"/>
      <w:numFmt w:val="bullet"/>
      <w:lvlText w:val="ü"/>
      <w:lvlJc w:val="left"/>
      <w:pPr>
        <w:ind w:left="1800" w:hanging="360"/>
      </w:pPr>
      <w:rPr>
        <w:rFonts w:ascii="Wingdings" w:hAnsi="Wingdings" w:hint="default"/>
        <w:color w:val="C00000"/>
        <w:sz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62C0442"/>
    <w:multiLevelType w:val="multilevel"/>
    <w:tmpl w:val="97AC1172"/>
    <w:styleLink w:val="CurrentList1"/>
    <w:lvl w:ilvl="0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41748D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B3AF2"/>
    <w:multiLevelType w:val="hybridMultilevel"/>
    <w:tmpl w:val="4CC697FC"/>
    <w:lvl w:ilvl="0" w:tplc="0BA05EC2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C00000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E2A23"/>
    <w:multiLevelType w:val="hybridMultilevel"/>
    <w:tmpl w:val="18027136"/>
    <w:lvl w:ilvl="0" w:tplc="A9768858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C00000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674D1"/>
    <w:multiLevelType w:val="hybridMultilevel"/>
    <w:tmpl w:val="B214436C"/>
    <w:lvl w:ilvl="0" w:tplc="ED766C1C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C00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507755">
    <w:abstractNumId w:val="6"/>
  </w:num>
  <w:num w:numId="2" w16cid:durableId="538706969">
    <w:abstractNumId w:val="7"/>
  </w:num>
  <w:num w:numId="3" w16cid:durableId="1809544562">
    <w:abstractNumId w:val="11"/>
  </w:num>
  <w:num w:numId="4" w16cid:durableId="2146774997">
    <w:abstractNumId w:val="8"/>
  </w:num>
  <w:num w:numId="5" w16cid:durableId="1994139710">
    <w:abstractNumId w:val="0"/>
  </w:num>
  <w:num w:numId="6" w16cid:durableId="1917128121">
    <w:abstractNumId w:val="3"/>
  </w:num>
  <w:num w:numId="7" w16cid:durableId="2133669267">
    <w:abstractNumId w:val="2"/>
  </w:num>
  <w:num w:numId="8" w16cid:durableId="1575697658">
    <w:abstractNumId w:val="1"/>
  </w:num>
  <w:num w:numId="9" w16cid:durableId="1105881148">
    <w:abstractNumId w:val="5"/>
  </w:num>
  <w:num w:numId="10" w16cid:durableId="1537891541">
    <w:abstractNumId w:val="4"/>
  </w:num>
  <w:num w:numId="11" w16cid:durableId="1748917926">
    <w:abstractNumId w:val="9"/>
  </w:num>
  <w:num w:numId="12" w16cid:durableId="833912356">
    <w:abstractNumId w:val="15"/>
  </w:num>
  <w:num w:numId="13" w16cid:durableId="396899283">
    <w:abstractNumId w:val="12"/>
  </w:num>
  <w:num w:numId="14" w16cid:durableId="473911613">
    <w:abstractNumId w:val="10"/>
  </w:num>
  <w:num w:numId="15" w16cid:durableId="47841589">
    <w:abstractNumId w:val="13"/>
  </w:num>
  <w:num w:numId="16" w16cid:durableId="8940060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A8"/>
    <w:rsid w:val="00016982"/>
    <w:rsid w:val="0007366D"/>
    <w:rsid w:val="000D5907"/>
    <w:rsid w:val="001C2C3C"/>
    <w:rsid w:val="002911C7"/>
    <w:rsid w:val="002A0EAC"/>
    <w:rsid w:val="003C2B5B"/>
    <w:rsid w:val="00495531"/>
    <w:rsid w:val="00570C0A"/>
    <w:rsid w:val="0059653A"/>
    <w:rsid w:val="005F2F29"/>
    <w:rsid w:val="0061519E"/>
    <w:rsid w:val="006232A8"/>
    <w:rsid w:val="0071527F"/>
    <w:rsid w:val="00752C7F"/>
    <w:rsid w:val="00885F70"/>
    <w:rsid w:val="009939DD"/>
    <w:rsid w:val="009D12B6"/>
    <w:rsid w:val="009D42CD"/>
    <w:rsid w:val="009D7803"/>
    <w:rsid w:val="009E19DD"/>
    <w:rsid w:val="00A013B0"/>
    <w:rsid w:val="00A87AEA"/>
    <w:rsid w:val="00AD4FEF"/>
    <w:rsid w:val="00B1302E"/>
    <w:rsid w:val="00B61031"/>
    <w:rsid w:val="00C15DF1"/>
    <w:rsid w:val="00C240AC"/>
    <w:rsid w:val="00C47D07"/>
    <w:rsid w:val="00D519E5"/>
    <w:rsid w:val="00DA03F8"/>
    <w:rsid w:val="00DA3E34"/>
    <w:rsid w:val="00DD5CD4"/>
    <w:rsid w:val="00E92E33"/>
    <w:rsid w:val="00EE00A6"/>
    <w:rsid w:val="00F56C5F"/>
    <w:rsid w:val="00F82DD3"/>
    <w:rsid w:val="00F9094C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0BD52"/>
  <w15:chartTrackingRefBased/>
  <w15:docId w15:val="{9FA5EFB3-896D-1D4C-BA0F-D08EEFAE5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2A8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32A8"/>
    <w:pPr>
      <w:outlineLvl w:val="0"/>
    </w:pPr>
    <w:rPr>
      <w:b/>
      <w:bCs/>
      <w:sz w:val="40"/>
      <w:szCs w:val="40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232A8"/>
    <w:pPr>
      <w:outlineLvl w:val="1"/>
    </w:pPr>
    <w:rPr>
      <w:i/>
      <w:iCs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6232A8"/>
    <w:pPr>
      <w:outlineLvl w:val="2"/>
    </w:pPr>
    <w:rPr>
      <w:b w:val="0"/>
      <w:bCs w:val="0"/>
      <w:sz w:val="28"/>
      <w:szCs w:val="28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6232A8"/>
    <w:pPr>
      <w:outlineLvl w:val="3"/>
    </w:pPr>
    <w:rPr>
      <w:sz w:val="24"/>
      <w:szCs w:val="24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6232A8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32A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2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32A8"/>
  </w:style>
  <w:style w:type="paragraph" w:styleId="Footer">
    <w:name w:val="footer"/>
    <w:basedOn w:val="Normal"/>
    <w:link w:val="FooterChar"/>
    <w:uiPriority w:val="99"/>
    <w:unhideWhenUsed/>
    <w:rsid w:val="006232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2A8"/>
  </w:style>
  <w:style w:type="paragraph" w:styleId="NoSpacing">
    <w:name w:val="No Spacing"/>
    <w:uiPriority w:val="1"/>
    <w:qFormat/>
    <w:rsid w:val="006232A8"/>
    <w:rPr>
      <w:rFonts w:ascii="Cambria" w:hAnsi="Cambria"/>
    </w:rPr>
  </w:style>
  <w:style w:type="character" w:customStyle="1" w:styleId="Heading1Char">
    <w:name w:val="Heading 1 Char"/>
    <w:basedOn w:val="DefaultParagraphFont"/>
    <w:link w:val="Heading1"/>
    <w:uiPriority w:val="9"/>
    <w:rsid w:val="006232A8"/>
    <w:rPr>
      <w:rFonts w:ascii="Cambria" w:hAnsi="Cambria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232A8"/>
    <w:rPr>
      <w:rFonts w:ascii="Cambria" w:hAnsi="Cambria"/>
      <w:b/>
      <w:bCs/>
      <w:i/>
      <w:iCs/>
      <w:sz w:val="32"/>
      <w:szCs w:val="32"/>
    </w:rPr>
  </w:style>
  <w:style w:type="paragraph" w:styleId="Title">
    <w:name w:val="Title"/>
    <w:basedOn w:val="Heading1"/>
    <w:next w:val="Normal"/>
    <w:link w:val="TitleChar"/>
    <w:uiPriority w:val="10"/>
    <w:qFormat/>
    <w:rsid w:val="006232A8"/>
  </w:style>
  <w:style w:type="character" w:customStyle="1" w:styleId="TitleChar">
    <w:name w:val="Title Char"/>
    <w:basedOn w:val="DefaultParagraphFont"/>
    <w:link w:val="Title"/>
    <w:uiPriority w:val="10"/>
    <w:rsid w:val="006232A8"/>
    <w:rPr>
      <w:rFonts w:ascii="Cambria" w:hAnsi="Cambria"/>
      <w:b/>
      <w:bCs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rsid w:val="006232A8"/>
    <w:rPr>
      <w:rFonts w:ascii="Cambria" w:hAnsi="Cambria"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232A8"/>
    <w:rPr>
      <w:rFonts w:ascii="Cambria" w:hAnsi="Cambria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232A8"/>
    <w:rPr>
      <w:rFonts w:ascii="Cambria" w:hAnsi="Cambria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232A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016982"/>
    <w:rPr>
      <w:rFonts w:ascii="Cambria" w:hAnsi="Cambria"/>
    </w:rPr>
  </w:style>
  <w:style w:type="character" w:styleId="CommentReference">
    <w:name w:val="annotation reference"/>
    <w:basedOn w:val="DefaultParagraphFont"/>
    <w:uiPriority w:val="99"/>
    <w:semiHidden/>
    <w:unhideWhenUsed/>
    <w:rsid w:val="00AD4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F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FEF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FEF"/>
    <w:rPr>
      <w:rFonts w:ascii="Cambria" w:hAnsi="Cambr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A3E34"/>
    <w:pPr>
      <w:ind w:left="720"/>
      <w:contextualSpacing/>
    </w:pPr>
  </w:style>
  <w:style w:type="numbering" w:customStyle="1" w:styleId="CurrentList1">
    <w:name w:val="Current List1"/>
    <w:uiPriority w:val="99"/>
    <w:rsid w:val="00E92E33"/>
    <w:pPr>
      <w:numPr>
        <w:numId w:val="13"/>
      </w:numPr>
    </w:pPr>
  </w:style>
  <w:style w:type="character" w:styleId="Hyperlink">
    <w:name w:val="Hyperlink"/>
    <w:basedOn w:val="DefaultParagraphFont"/>
    <w:uiPriority w:val="99"/>
    <w:unhideWhenUsed/>
    <w:rsid w:val="000736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36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7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wgg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twgg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texas_wi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texas_wi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234</Words>
  <Characters>1328</Characters>
  <Application>Microsoft Office Word</Application>
  <DocSecurity>0</DocSecurity>
  <Lines>26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McDowall</dc:creator>
  <cp:keywords/>
  <dc:description/>
  <cp:lastModifiedBy>Katy McDowall</cp:lastModifiedBy>
  <cp:revision>7</cp:revision>
  <dcterms:created xsi:type="dcterms:W3CDTF">2024-05-15T19:58:00Z</dcterms:created>
  <dcterms:modified xsi:type="dcterms:W3CDTF">2025-05-16T21:41:00Z</dcterms:modified>
</cp:coreProperties>
</file>